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0"/>
        <w:jc w:val="center"/>
        <w:rPr/>
      </w:pPr>
      <w:r>
        <w:rPr>
          <w:b/>
        </w:rPr>
        <w:t>SZCZEGÓŁOWE WARUNKI I SPOSÓB OCENIANIA UCZNIÓW Z JĘZYKA NIEMIECKIEGO</w:t>
      </w:r>
    </w:p>
    <w:p>
      <w:pPr>
        <w:pStyle w:val="Normal"/>
        <w:bidi w:val="0"/>
        <w:spacing w:lineRule="auto" w:line="276" w:before="0"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 Uczeń otrzymuje oceny z: </w:t>
      </w:r>
    </w:p>
    <w:p>
      <w:pPr>
        <w:pStyle w:val="Normal"/>
        <w:bidi w:val="0"/>
        <w:spacing w:lineRule="auto" w:line="276" w:before="0" w:after="0"/>
        <w:jc w:val="both"/>
        <w:rPr>
          <w:sz w:val="20"/>
          <w:szCs w:val="20"/>
        </w:rPr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a) pisania (np. krótkie wypowiedzi pisemne, odpowiedzi na pytania zawarte w podręczniku, itp.) </w:t>
      </w:r>
    </w:p>
    <w:p>
      <w:pPr>
        <w:pStyle w:val="Normal"/>
        <w:bidi w:val="0"/>
        <w:spacing w:lineRule="auto" w:line="276" w:before="0" w:after="0"/>
        <w:jc w:val="both"/>
        <w:rPr>
          <w:sz w:val="20"/>
          <w:szCs w:val="20"/>
        </w:rPr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b) mówienia (np. opowiadanie historyjek z podręcznika, dialogi, odpowiedź na lekcji, itp.) </w:t>
      </w:r>
    </w:p>
    <w:p>
      <w:pPr>
        <w:pStyle w:val="Normal"/>
        <w:bidi w:val="0"/>
        <w:spacing w:lineRule="auto" w:line="276" w:before="0" w:after="0"/>
        <w:jc w:val="both"/>
        <w:rPr>
          <w:sz w:val="20"/>
          <w:szCs w:val="20"/>
        </w:rPr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c) czytania (np. czytanie ze zrozumieniem, pytania do tekstu, itp.) </w:t>
      </w:r>
    </w:p>
    <w:p>
      <w:pPr>
        <w:pStyle w:val="Normal"/>
        <w:bidi w:val="0"/>
        <w:spacing w:lineRule="auto" w:line="276" w:before="0" w:after="0"/>
        <w:jc w:val="both"/>
        <w:rPr>
          <w:sz w:val="20"/>
          <w:szCs w:val="20"/>
        </w:rPr>
      </w:pPr>
      <w:r>
        <w:rPr>
          <w:sz w:val="24"/>
          <w:szCs w:val="24"/>
        </w:rPr>
        <w:t>d) słuchania (np. pytania do tekstu słuchanego, itp.)</w:t>
      </w:r>
    </w:p>
    <w:p>
      <w:pPr>
        <w:pStyle w:val="Normal"/>
        <w:bidi w:val="0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cs="Calibri"/>
          <w:sz w:val="24"/>
          <w:szCs w:val="24"/>
        </w:rPr>
        <w:t>2. Testy/prace klasowe obejmujące więcej niż trzy ostatnie lekcje są zapowiadane z co najmniej tygodniowym wyprzedzeniem.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3. Kartkówki  i krótkie sprawdziany nie muszą być zapowiadane, obejmują one trzy ostatnie jednostki lekcyjne.</w:t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4. Wszystkie prace pisemne są sprawdzane według skali punktowej, a punkty przeliczane na oceny zgodnie z poniższą skalą procentową:</w:t>
      </w:r>
    </w:p>
    <w:tbl>
      <w:tblPr>
        <w:tblW w:w="6100" w:type="dxa"/>
        <w:jc w:val="left"/>
        <w:tblInd w:w="18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735"/>
        <w:gridCol w:w="2364"/>
      </w:tblGrid>
      <w:tr>
        <w:trPr/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PROCENTY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OCENA</w:t>
            </w:r>
          </w:p>
        </w:tc>
      </w:tr>
      <w:tr>
        <w:trPr/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 xml:space="preserve">100% 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celujący (6)</w:t>
            </w:r>
          </w:p>
        </w:tc>
      </w:tr>
      <w:tr>
        <w:trPr/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99% - 91%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bardzo dobry (5)</w:t>
            </w:r>
          </w:p>
        </w:tc>
      </w:tr>
      <w:tr>
        <w:trPr/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90% - 75%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dobry (4)</w:t>
            </w:r>
          </w:p>
        </w:tc>
      </w:tr>
      <w:tr>
        <w:trPr/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74% - 50%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dostateczny (3)</w:t>
            </w:r>
          </w:p>
        </w:tc>
      </w:tr>
      <w:tr>
        <w:trPr/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49% - 33%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dopuszczający (2)</w:t>
            </w:r>
          </w:p>
        </w:tc>
      </w:tr>
      <w:tr>
        <w:trPr/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32% - 0%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niedostateczny (1)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 Uczeń nieobecny na pracy klasowej ma obowiązek ją napisać w terminie uzgodnionym z nauczycielem.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5. Uczeń, który otrzymał ocenę niedostateczną z pracy klasowej, może ją poprawić w terminie uzgodnionym z nauczycielem.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6. Uczeń, który otrzymał ocenę z pracy klasowej, która go nie satysfakcjonuje, ma prawo ją poprawić w terminie uzgodnionym z nauczycielem.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7. Wszystkie pozostałe oceny (za wyjątkiem ocen z prac klasowych), które uczeń zdobywa w ciągu roku szkolnego, uczeń może poprawić na warunkach ustalonych z nauczycielem.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8. Uczeń może otrzymać wyższą od przewidywanej ocenę roczną, jeżeli: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a) uczeń lub jego rodzice (prawni opiekunowie) złożą pisemny wniosek do nauczyciela danego przedmiotu w terminie 3 dni od uzyskania informacji o przewidywanej rocznej ocenie z zajęć edukacyjnych.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b) wykona określone przez nauczyciela zadania niezbędne do otrzymania wyższej oceny w terminie wyznaczonym przez nauczyciela.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>c) nie ma nieusprawiedliwionych godzin z j. niemieckiego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>d) podejmował na bieżąco próby poprawiania ocen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9. Uczeń lub jego rodzice mogą zgłosić zastrzeżenia do dyrektora szkoły, jeżeli uznają, że roczna ocena klasyfikacyjna z zajęć edukacyjnych została ustalona niezgodnie z przepisami.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a) Zastrzeżenia te zgłasza się od dnia ustalenia rocznej oceny klasyfikacyjnej z zajęć edukacyjnych nie później jednak niż w terminie 2 dni roboczych od dnia zakończenia rocznych zajęć edukacyjnych.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b) W przypadku stwierdzenia, że roczna, ocena klasyfikacyjna z zajęć edukacyjnych została ustalona niezgodnie z przepisami, dyrektor szkoły powołuje komisję, która przeprowadza sprawdzian wiadomości i umiejętności ucznia oraz ustala roczną ocenę klasyfikacyjną z zajęć edukacyjnych.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10. Uczniowie mają prawo zgłosić </w:t>
      </w:r>
      <w:r>
        <w:rPr>
          <w:b/>
          <w:sz w:val="24"/>
          <w:szCs w:val="24"/>
        </w:rPr>
        <w:t>2 nieprzygotowania</w:t>
      </w:r>
      <w:r>
        <w:rPr>
          <w:sz w:val="24"/>
          <w:szCs w:val="24"/>
        </w:rPr>
        <w:t xml:space="preserve"> do lekcji w półroczu, nie mniej jednak, nieprzygotowania te nie dotyczą wcześniej zapowiedzianych prac klasowych i sprawdzianów.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11. Uczeń zgłasza nieprzygotowanie przed rozpoczęciem lekcji.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12. Po wykorzystaniu limitu ustalonego w punkcie 10, uczeń otrzymuje za każde kolejne nieprzygotowanie ocenę niedostateczną.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13. Uczeń ma prawo zgłosić w półroczu </w:t>
      </w:r>
      <w:r>
        <w:rPr>
          <w:b/>
          <w:sz w:val="24"/>
          <w:szCs w:val="24"/>
        </w:rPr>
        <w:t>2 braki pracy domowej</w:t>
      </w:r>
      <w:r>
        <w:rPr>
          <w:sz w:val="24"/>
          <w:szCs w:val="24"/>
        </w:rPr>
        <w:t xml:space="preserve">, za każdy kolejny brak pracy otrzymuje ocenę niedostateczną.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14. Nauczyciel może oceniać aktywność pracy uczniów na lekcji w wybranej przez siebie formie. („+” i „-” ,oceny cząstkowe) </w:t>
      </w:r>
    </w:p>
    <w:p>
      <w:pPr>
        <w:pStyle w:val="Normal"/>
        <w:spacing w:before="0" w:after="2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15. Uczeń jest zobowiązany prowadzić zeszyt przedmiotowy oraz na bieżąco uzupełniać wszystkie ćwiczenia zarówno w podręczniku jak i zeszycie ćwiczeń. Zeszyt przedmiotowy, podręcznik oraz zeszyt ćwiczeń podlegają wyrywkowej kontroli przez nauczyciela. </w:t>
      </w:r>
    </w:p>
    <w:p>
      <w:pPr>
        <w:pStyle w:val="Normal"/>
        <w:bidi w:val="0"/>
        <w:spacing w:lineRule="auto" w:line="240" w:before="0" w:after="280"/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16. Korzystanie przez ucznia podczas pracy klasowej (sprawdzianu) lub kartkówki z urządzenia telekomunikacyjnego jest uznane jako praca niesamodzielna i skutkuje przerwaniem pisania pracy i otrzymaniem oceny niedostatecznej.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color w:val="000000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WYMAGANIA NA POSZCZEGÓLNE OCENY: 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color w:val="000000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Ocena dopuszczająca: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4"/>
          <w:szCs w:val="24"/>
        </w:rPr>
        <w:t>uczeń rozumie tylko nieliczne polecenia i wypowiedzi nauczyciela formułowane w języku niemieckim i nie zawsze poprawnie na nie reaguje,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rozumie teksty słuchane i pisane w niewielkim stopniu,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bardzo niewielkim stopniu opanował zakres leksykalny i gramatyczny, popełnia przy tym liczne błędy, ale jest komunikatywny,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uczeń wypowiada się, stosując pojedyncze słowa i struktury gramatyczne zawarte w programie nauczania,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Ocena dostateczna: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uczeń rozumie dużą część poleceń i niektóre wypowiedzi nauczyciela formułowane w języku niemieckim i poprawnie na nie reaguje,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rozumie ze słuchu bardzo proste, krótkie wypowiedzi, artykułowane powoli i wyraźnie,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dość dobrze opanował zakres leksykalny i gramatyczny, popełnia błędy, które nie zakłócają komunikacji,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uczeń wypowiada się, stosując pojedyncze słowa i struktury gramatyczne zawarte w programie nauczania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Ocena dobra: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uczeń rozumie wszystkie </w:t>
      </w:r>
      <w:r>
        <w:rPr>
          <w:sz w:val="24"/>
          <w:szCs w:val="24"/>
        </w:rPr>
        <w:t>polecenia i większość wypowiedzi nauczyciela formułowanych w języku niemieckim i poprawnie na nie reaguje,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rozumie teksty słuchane i pisane w </w:t>
      </w:r>
      <w:r>
        <w:rPr>
          <w:sz w:val="24"/>
          <w:szCs w:val="24"/>
        </w:rPr>
        <w:t>znacznym stopniu,</w:t>
      </w:r>
      <w:r>
        <w:rPr>
          <w:sz w:val="24"/>
          <w:szCs w:val="24"/>
        </w:rPr>
        <w:t>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uczeń wypowiada się, stosując </w:t>
      </w:r>
      <w:r>
        <w:rPr>
          <w:sz w:val="24"/>
          <w:szCs w:val="24"/>
        </w:rPr>
        <w:t>zasób słów i struktury gramatyczne zawarte w programie nauczania,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popełnia nieliczne błędy, które nie zakłócają komunikacji,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wypowiedzi są płynne przy niewielkiej pomocy nauczyciela,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ucze</w:t>
      </w:r>
      <w:r>
        <w:rPr>
          <w:sz w:val="24"/>
          <w:szCs w:val="24"/>
        </w:rPr>
        <w:t>ń redaguje dłuższe i krótsze teksty użytkowe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poprawnie stosuje większość struktur gramatycznych </w:t>
      </w:r>
      <w:r>
        <w:rPr>
          <w:sz w:val="24"/>
          <w:szCs w:val="24"/>
        </w:rPr>
        <w:t>i opanował zakres leksykalny w stopniu dobrym,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Ocena bardzo dobra: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uczeń rozumie wszystkie polecenia i wypowiedzi nauczyciela formułowane w języku niemieckim i poprawnie na nie reaguje,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uczeń wypowiada się swobodnie stosując bogaty zasób słów i struktury gramatyczne zawarte w programie nauczania,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bardzo sporadycznie popełnia błędy, które nie zakłócają komunikacj</w:t>
      </w:r>
      <w:r>
        <w:rPr>
          <w:rFonts w:cs="Calibri"/>
          <w:sz w:val="24"/>
          <w:szCs w:val="24"/>
        </w:rPr>
        <w:t xml:space="preserve">i, jego </w:t>
      </w:r>
      <w:r>
        <w:rPr>
          <w:rFonts w:cs="Calibri"/>
          <w:sz w:val="24"/>
          <w:szCs w:val="24"/>
        </w:rPr>
        <w:t xml:space="preserve">wypowiedzi są płynne 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>poprawne fonetycznie,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uczeń bez trudności redaguje dłuższe i krótsze teksty,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uczeń w pełni opanował zakres gramatyczny i leksykalny,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stosuje w wypowiedziach ustnych i pisemnych bogaty zasób słów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Ocena celująca: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Wymagania na ocenę celującą, spełnia uczeń, który spełnił wymagania na ocenę bardzo dobrą oraz: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bierze udział w projektach,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samodzielnie przygotowuje prezentacje,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bierze udział w konkursach i odnosi sukcesy,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cs="Calibri"/>
          <w:b/>
          <w:b/>
          <w:bCs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sz w:val="20"/>
      <w:szCs w:val="20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sz w:val="20"/>
      <w:szCs w:val="20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  <w:sz w:val="20"/>
      <w:szCs w:val="20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0"/>
      <w:szCs w:val="20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  <w:sz w:val="20"/>
      <w:szCs w:val="20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ListLabel1">
    <w:name w:val="ListLabel 1"/>
    <w:qFormat/>
    <w:rPr>
      <w:rFonts w:cs="Symbol"/>
      <w:sz w:val="20"/>
      <w:szCs w:val="20"/>
    </w:rPr>
  </w:style>
  <w:style w:type="character" w:styleId="ListLabel2">
    <w:name w:val="ListLabel 2"/>
    <w:qFormat/>
    <w:rPr>
      <w:rFonts w:cs="Symbol"/>
      <w:sz w:val="20"/>
      <w:szCs w:val="20"/>
    </w:rPr>
  </w:style>
  <w:style w:type="character" w:styleId="ListLabel3">
    <w:name w:val="ListLabel 3"/>
    <w:qFormat/>
    <w:rPr>
      <w:rFonts w:cs="Symbol"/>
      <w:sz w:val="20"/>
      <w:szCs w:val="20"/>
    </w:rPr>
  </w:style>
  <w:style w:type="character" w:styleId="ListLabel4">
    <w:name w:val="ListLabel 4"/>
    <w:qFormat/>
    <w:rPr>
      <w:rFonts w:cs="Symbol"/>
      <w:sz w:val="20"/>
      <w:szCs w:val="20"/>
    </w:rPr>
  </w:style>
  <w:style w:type="character" w:styleId="ListLabel5">
    <w:name w:val="ListLabel 5"/>
    <w:qFormat/>
    <w:rPr>
      <w:rFonts w:cs="Symbol"/>
      <w:sz w:val="20"/>
      <w:szCs w:val="20"/>
    </w:rPr>
  </w:style>
  <w:style w:type="character" w:styleId="ListLabel6">
    <w:name w:val="ListLabel 6"/>
    <w:qFormat/>
    <w:rPr>
      <w:rFonts w:cs="Symbol"/>
      <w:sz w:val="20"/>
      <w:szCs w:val="20"/>
    </w:rPr>
  </w:style>
  <w:style w:type="character" w:styleId="ListLabel7">
    <w:name w:val="ListLabel 7"/>
    <w:qFormat/>
    <w:rPr>
      <w:rFonts w:cs="Symbol"/>
      <w:sz w:val="20"/>
      <w:szCs w:val="20"/>
    </w:rPr>
  </w:style>
  <w:style w:type="character" w:styleId="ListLabel8">
    <w:name w:val="ListLabel 8"/>
    <w:qFormat/>
    <w:rPr>
      <w:rFonts w:cs="Symbol"/>
      <w:sz w:val="20"/>
      <w:szCs w:val="20"/>
    </w:rPr>
  </w:style>
  <w:style w:type="character" w:styleId="ListLabel9">
    <w:name w:val="ListLabel 9"/>
    <w:qFormat/>
    <w:rPr>
      <w:rFonts w:cs="Symbol"/>
      <w:sz w:val="20"/>
      <w:szCs w:val="20"/>
    </w:rPr>
  </w:style>
  <w:style w:type="character" w:styleId="ListLabel10">
    <w:name w:val="ListLabel 10"/>
    <w:qFormat/>
    <w:rPr>
      <w:rFonts w:cs="OpenSymbol;Arial Unicode MS"/>
      <w:sz w:val="20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  <w:sz w:val="20"/>
      <w:szCs w:val="20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  <w:sz w:val="20"/>
      <w:szCs w:val="20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  <w:sz w:val="20"/>
      <w:szCs w:val="20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  <w:sz w:val="20"/>
      <w:szCs w:val="20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  <w:sz w:val="20"/>
      <w:szCs w:val="20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  <w:sz w:val="20"/>
      <w:szCs w:val="20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  <w:sz w:val="20"/>
      <w:szCs w:val="20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  <w:sz w:val="20"/>
      <w:szCs w:val="20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  <w:sz w:val="20"/>
      <w:szCs w:val="20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  <w:sz w:val="20"/>
      <w:szCs w:val="20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  <w:sz w:val="20"/>
      <w:szCs w:val="20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  <w:sz w:val="20"/>
      <w:szCs w:val="20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  <w:sz w:val="20"/>
      <w:szCs w:val="20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  <w:sz w:val="20"/>
      <w:szCs w:val="20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  <w:sz w:val="20"/>
      <w:szCs w:val="20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  <w:sz w:val="20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  <w:b/>
      <w:sz w:val="20"/>
      <w:szCs w:val="20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  <w:sz w:val="20"/>
      <w:szCs w:val="20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  <w:sz w:val="20"/>
      <w:szCs w:val="20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82">
    <w:name w:val="ListLabel 82"/>
    <w:qFormat/>
    <w:rPr>
      <w:rFonts w:cs="Symbol"/>
      <w:sz w:val="20"/>
      <w:szCs w:val="20"/>
    </w:rPr>
  </w:style>
  <w:style w:type="character" w:styleId="ListLabel83">
    <w:name w:val="ListLabel 83"/>
    <w:qFormat/>
    <w:rPr>
      <w:rFonts w:cs="Symbol"/>
      <w:sz w:val="20"/>
      <w:szCs w:val="20"/>
    </w:rPr>
  </w:style>
  <w:style w:type="character" w:styleId="ListLabel84">
    <w:name w:val="ListLabel 84"/>
    <w:qFormat/>
    <w:rPr>
      <w:rFonts w:cs="Symbol"/>
      <w:sz w:val="20"/>
      <w:szCs w:val="20"/>
    </w:rPr>
  </w:style>
  <w:style w:type="character" w:styleId="ListLabel85">
    <w:name w:val="ListLabel 85"/>
    <w:qFormat/>
    <w:rPr>
      <w:rFonts w:cs="Symbol"/>
      <w:sz w:val="20"/>
      <w:szCs w:val="20"/>
    </w:rPr>
  </w:style>
  <w:style w:type="character" w:styleId="ListLabel86">
    <w:name w:val="ListLabel 86"/>
    <w:qFormat/>
    <w:rPr>
      <w:rFonts w:cs="Symbol"/>
      <w:sz w:val="20"/>
      <w:szCs w:val="20"/>
    </w:rPr>
  </w:style>
  <w:style w:type="character" w:styleId="ListLabel87">
    <w:name w:val="ListLabel 87"/>
    <w:qFormat/>
    <w:rPr>
      <w:rFonts w:cs="Symbol"/>
      <w:sz w:val="20"/>
      <w:szCs w:val="20"/>
    </w:rPr>
  </w:style>
  <w:style w:type="character" w:styleId="ListLabel88">
    <w:name w:val="ListLabel 88"/>
    <w:qFormat/>
    <w:rPr>
      <w:rFonts w:cs="Symbol"/>
      <w:sz w:val="20"/>
      <w:szCs w:val="20"/>
    </w:rPr>
  </w:style>
  <w:style w:type="character" w:styleId="ListLabel89">
    <w:name w:val="ListLabel 89"/>
    <w:qFormat/>
    <w:rPr>
      <w:rFonts w:cs="Symbol"/>
      <w:sz w:val="20"/>
      <w:szCs w:val="20"/>
    </w:rPr>
  </w:style>
  <w:style w:type="character" w:styleId="ListLabel90">
    <w:name w:val="ListLabel 90"/>
    <w:qFormat/>
    <w:rPr>
      <w:rFonts w:cs="Symbol"/>
      <w:sz w:val="20"/>
      <w:szCs w:val="20"/>
    </w:rPr>
  </w:style>
  <w:style w:type="character" w:styleId="ListLabel91">
    <w:name w:val="ListLabel 91"/>
    <w:qFormat/>
    <w:rPr>
      <w:rFonts w:cs="OpenSymbol;Arial Unicode MS"/>
      <w:sz w:val="20"/>
      <w:szCs w:val="20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  <w:sz w:val="20"/>
      <w:szCs w:val="20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  <w:sz w:val="20"/>
      <w:szCs w:val="20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  <w:sz w:val="20"/>
      <w:szCs w:val="20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  <w:sz w:val="20"/>
      <w:szCs w:val="20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  <w:sz w:val="20"/>
      <w:szCs w:val="20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  <w:sz w:val="20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LibreOffice/5.2.2.2$Windows_x86 LibreOffice_project/8f96e87c890bf8fa77463cd4b640a2312823f3ad</Application>
  <Pages>3</Pages>
  <Words>841</Words>
  <Characters>5158</Characters>
  <CharactersWithSpaces>5936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2018-08-28T08:18:39Z</dcterms:created>
  <dc:creator/>
  <dc:description/>
  <dc:language>pl-PL</dc:language>
  <cp:lastModifiedBy/>
  <dcterms:modified xsi:type="dcterms:W3CDTF">2018-08-29T19:42:34Z</dcterms:modified>
  <cp:revision>3</cp:revision>
  <dc:subject/>
  <dc:title/>
</cp:coreProperties>
</file>